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D50FD1" w:rsidRDefault="00D5547E" w:rsidP="004A6D2F">
      <w:pPr>
        <w:rPr>
          <w:color w:val="auto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D50FD1" w:rsidRPr="00D50FD1" w:rsidTr="005F7F7E">
        <w:tc>
          <w:tcPr>
            <w:tcW w:w="2438" w:type="dxa"/>
            <w:shd w:val="clear" w:color="auto" w:fill="auto"/>
          </w:tcPr>
          <w:p w:rsidR="00F445B1" w:rsidRPr="00D50FD1" w:rsidRDefault="00F445B1" w:rsidP="004A6D2F">
            <w:pPr>
              <w:rPr>
                <w:rStyle w:val="Firstpagetablebold"/>
                <w:color w:val="auto"/>
              </w:rPr>
            </w:pPr>
            <w:r w:rsidRPr="00D50FD1">
              <w:rPr>
                <w:rStyle w:val="Firstpagetablebold"/>
                <w:color w:val="auto"/>
              </w:rPr>
              <w:t>To</w:t>
            </w:r>
            <w:r w:rsidR="005C35A5" w:rsidRPr="00D50FD1">
              <w:rPr>
                <w:rStyle w:val="Firstpagetablebold"/>
                <w:color w:val="auto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D50FD1" w:rsidRDefault="00D80876" w:rsidP="00DA0583">
            <w:pPr>
              <w:rPr>
                <w:rStyle w:val="Firstpagetablebold"/>
                <w:color w:val="auto"/>
              </w:rPr>
            </w:pPr>
            <w:r w:rsidRPr="00D50FD1">
              <w:rPr>
                <w:rStyle w:val="Firstpagetablebold"/>
                <w:color w:val="auto"/>
              </w:rPr>
              <w:t xml:space="preserve">Housing </w:t>
            </w:r>
            <w:r w:rsidR="00DA0583">
              <w:rPr>
                <w:rStyle w:val="Firstpagetablebold"/>
                <w:color w:val="auto"/>
              </w:rPr>
              <w:t>Group</w:t>
            </w:r>
            <w:r w:rsidR="00B3798B">
              <w:rPr>
                <w:rStyle w:val="Firstpagetablebold"/>
                <w:color w:val="auto"/>
              </w:rPr>
              <w:t xml:space="preserve"> </w:t>
            </w:r>
            <w:r w:rsidR="004711FC" w:rsidRPr="00D50FD1">
              <w:rPr>
                <w:rStyle w:val="Firstpagetablebold"/>
                <w:color w:val="auto"/>
              </w:rPr>
              <w:t xml:space="preserve">Shareholder </w:t>
            </w:r>
            <w:r w:rsidR="00DA0583">
              <w:rPr>
                <w:rStyle w:val="Firstpagetablebold"/>
                <w:color w:val="auto"/>
              </w:rPr>
              <w:t>Meeting</w:t>
            </w:r>
          </w:p>
        </w:tc>
      </w:tr>
      <w:tr w:rsidR="00D50FD1" w:rsidRPr="00D50FD1" w:rsidTr="005F7F7E">
        <w:tc>
          <w:tcPr>
            <w:tcW w:w="2438" w:type="dxa"/>
            <w:shd w:val="clear" w:color="auto" w:fill="auto"/>
          </w:tcPr>
          <w:p w:rsidR="00F445B1" w:rsidRPr="00D50FD1" w:rsidRDefault="00F445B1" w:rsidP="004A6D2F">
            <w:pPr>
              <w:rPr>
                <w:rStyle w:val="Firstpagetablebold"/>
                <w:color w:val="auto"/>
              </w:rPr>
            </w:pPr>
            <w:r w:rsidRPr="00D50FD1">
              <w:rPr>
                <w:rStyle w:val="Firstpagetablebold"/>
                <w:color w:val="auto"/>
              </w:rPr>
              <w:t>Dat</w:t>
            </w:r>
            <w:r w:rsidR="005C35A5" w:rsidRPr="00D50FD1">
              <w:rPr>
                <w:rStyle w:val="Firstpagetablebold"/>
                <w:color w:val="auto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D50FD1" w:rsidRDefault="0081633E" w:rsidP="005D0621">
            <w:pPr>
              <w:rPr>
                <w:b/>
                <w:color w:val="auto"/>
              </w:rPr>
            </w:pPr>
            <w:r w:rsidRPr="00D50FD1">
              <w:rPr>
                <w:rStyle w:val="Firstpagetablebold"/>
                <w:color w:val="auto"/>
              </w:rPr>
              <w:t>20 December 2017</w:t>
            </w:r>
          </w:p>
        </w:tc>
      </w:tr>
      <w:tr w:rsidR="00D50FD1" w:rsidRPr="00D50FD1" w:rsidTr="005F7F7E">
        <w:tc>
          <w:tcPr>
            <w:tcW w:w="2438" w:type="dxa"/>
            <w:shd w:val="clear" w:color="auto" w:fill="auto"/>
          </w:tcPr>
          <w:p w:rsidR="00F445B1" w:rsidRPr="00D50FD1" w:rsidRDefault="00F445B1" w:rsidP="004A6D2F">
            <w:pPr>
              <w:rPr>
                <w:rStyle w:val="Firstpagetablebold"/>
                <w:color w:val="auto"/>
              </w:rPr>
            </w:pPr>
            <w:r w:rsidRPr="00D50FD1">
              <w:rPr>
                <w:rStyle w:val="Firstpagetablebold"/>
                <w:color w:val="auto"/>
              </w:rPr>
              <w:t>Report of</w:t>
            </w:r>
            <w:r w:rsidR="005C35A5" w:rsidRPr="00D50FD1">
              <w:rPr>
                <w:rStyle w:val="Firstpagetablebold"/>
                <w:color w:val="auto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D50FD1" w:rsidRDefault="007468DA" w:rsidP="004711FC">
            <w:pPr>
              <w:rPr>
                <w:rStyle w:val="Firstpagetablebold"/>
                <w:color w:val="auto"/>
              </w:rPr>
            </w:pPr>
            <w:r>
              <w:rPr>
                <w:rStyle w:val="Firstpagetablebold"/>
                <w:color w:val="auto"/>
              </w:rPr>
              <w:t>OCHL Board</w:t>
            </w:r>
          </w:p>
        </w:tc>
      </w:tr>
      <w:tr w:rsidR="00CE544A" w:rsidRPr="00D50FD1" w:rsidTr="005F7F7E">
        <w:tc>
          <w:tcPr>
            <w:tcW w:w="2438" w:type="dxa"/>
            <w:shd w:val="clear" w:color="auto" w:fill="auto"/>
          </w:tcPr>
          <w:p w:rsidR="00F445B1" w:rsidRPr="00D50FD1" w:rsidRDefault="00F445B1" w:rsidP="004A6D2F">
            <w:pPr>
              <w:rPr>
                <w:rStyle w:val="Firstpagetablebold"/>
                <w:color w:val="auto"/>
              </w:rPr>
            </w:pPr>
            <w:r w:rsidRPr="00D50FD1">
              <w:rPr>
                <w:rStyle w:val="Firstpagetablebold"/>
                <w:color w:val="auto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D50FD1" w:rsidRDefault="00B96A46" w:rsidP="004A6D2F">
            <w:pPr>
              <w:rPr>
                <w:rStyle w:val="Firstpagetablebold"/>
                <w:color w:val="auto"/>
              </w:rPr>
            </w:pPr>
            <w:r w:rsidRPr="00D50FD1">
              <w:rPr>
                <w:rStyle w:val="Firstpagetablebold"/>
                <w:color w:val="auto"/>
              </w:rPr>
              <w:t>Lucy Faithfull House</w:t>
            </w:r>
          </w:p>
        </w:tc>
      </w:tr>
    </w:tbl>
    <w:p w:rsidR="004F20EF" w:rsidRPr="00D50FD1" w:rsidRDefault="004F20EF" w:rsidP="004A6D2F">
      <w:pPr>
        <w:rPr>
          <w:color w:val="auto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0FD1" w:rsidRPr="00D50FD1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Pr="00D50FD1" w:rsidRDefault="00745BF0" w:rsidP="00745BF0">
            <w:pPr>
              <w:jc w:val="center"/>
              <w:rPr>
                <w:rStyle w:val="Firstpagetablebold"/>
                <w:color w:val="auto"/>
              </w:rPr>
            </w:pPr>
            <w:r w:rsidRPr="00D50FD1">
              <w:rPr>
                <w:rStyle w:val="Firstpagetablebold"/>
                <w:color w:val="auto"/>
              </w:rPr>
              <w:t>Summary and r</w:t>
            </w:r>
            <w:r w:rsidR="00D5547E" w:rsidRPr="00D50FD1">
              <w:rPr>
                <w:rStyle w:val="Firstpagetablebold"/>
                <w:color w:val="auto"/>
              </w:rPr>
              <w:t>ecommendations</w:t>
            </w:r>
          </w:p>
        </w:tc>
      </w:tr>
      <w:tr w:rsidR="00D50FD1" w:rsidRPr="00D50FD1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Pr="00D50FD1" w:rsidRDefault="00D5547E">
            <w:pPr>
              <w:rPr>
                <w:rStyle w:val="Firstpagetablebold"/>
                <w:color w:val="auto"/>
              </w:rPr>
            </w:pPr>
            <w:r w:rsidRPr="00D50FD1">
              <w:rPr>
                <w:rStyle w:val="Firstpagetablebold"/>
                <w:color w:val="auto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D50FD1" w:rsidRDefault="00B96A46" w:rsidP="007468DA">
            <w:pPr>
              <w:rPr>
                <w:color w:val="auto"/>
              </w:rPr>
            </w:pPr>
            <w:r w:rsidRPr="00D50FD1">
              <w:rPr>
                <w:color w:val="auto"/>
              </w:rPr>
              <w:t xml:space="preserve">To </w:t>
            </w:r>
            <w:r w:rsidR="007468DA">
              <w:rPr>
                <w:color w:val="auto"/>
              </w:rPr>
              <w:t>seek</w:t>
            </w:r>
            <w:r w:rsidRPr="00D50FD1">
              <w:rPr>
                <w:color w:val="auto"/>
              </w:rPr>
              <w:t xml:space="preserve"> shareholder </w:t>
            </w:r>
            <w:r w:rsidR="007468DA">
              <w:rPr>
                <w:color w:val="auto"/>
              </w:rPr>
              <w:t xml:space="preserve">agreement </w:t>
            </w:r>
            <w:r w:rsidRPr="00D50FD1">
              <w:rPr>
                <w:color w:val="auto"/>
              </w:rPr>
              <w:t>to include the redevelopment of Lucy Faithfull House</w:t>
            </w:r>
            <w:r w:rsidR="00D80876" w:rsidRPr="00D50FD1">
              <w:rPr>
                <w:color w:val="auto"/>
              </w:rPr>
              <w:t xml:space="preserve"> in the </w:t>
            </w:r>
            <w:r w:rsidR="002E722D">
              <w:rPr>
                <w:color w:val="auto"/>
              </w:rPr>
              <w:t>Housing</w:t>
            </w:r>
            <w:r w:rsidR="00D80876" w:rsidRPr="00D50FD1">
              <w:rPr>
                <w:color w:val="auto"/>
              </w:rPr>
              <w:t xml:space="preserve"> Group </w:t>
            </w:r>
            <w:r w:rsidR="007468DA">
              <w:rPr>
                <w:color w:val="auto"/>
              </w:rPr>
              <w:t>D</w:t>
            </w:r>
            <w:r w:rsidR="00D80876" w:rsidRPr="00D50FD1">
              <w:rPr>
                <w:color w:val="auto"/>
              </w:rPr>
              <w:t xml:space="preserve">evelopment </w:t>
            </w:r>
            <w:r w:rsidR="007468DA">
              <w:rPr>
                <w:color w:val="auto"/>
              </w:rPr>
              <w:t>P</w:t>
            </w:r>
            <w:r w:rsidR="00D80876" w:rsidRPr="00D50FD1">
              <w:rPr>
                <w:color w:val="auto"/>
              </w:rPr>
              <w:t>rogramme</w:t>
            </w:r>
            <w:r w:rsidR="007468DA">
              <w:rPr>
                <w:color w:val="auto"/>
              </w:rPr>
              <w:t xml:space="preserve"> subject to financing being made available from Oxford City Council</w:t>
            </w:r>
            <w:r w:rsidR="00D80876" w:rsidRPr="00D50FD1">
              <w:rPr>
                <w:color w:val="auto"/>
              </w:rPr>
              <w:t>.</w:t>
            </w:r>
          </w:p>
        </w:tc>
      </w:tr>
      <w:tr w:rsidR="00D50FD1" w:rsidRPr="00D50FD1" w:rsidTr="00A46E98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D50FD1" w:rsidRDefault="005F7F7E" w:rsidP="00DA0583">
            <w:pPr>
              <w:rPr>
                <w:color w:val="auto"/>
              </w:rPr>
            </w:pPr>
            <w:r w:rsidRPr="00D50FD1">
              <w:rPr>
                <w:rStyle w:val="Firstpagetablebold"/>
                <w:color w:val="auto"/>
              </w:rPr>
              <w:t>Recommendation(s):</w:t>
            </w:r>
            <w:r w:rsidR="00DA0583">
              <w:t xml:space="preserve"> </w:t>
            </w:r>
            <w:r w:rsidR="00DA0583">
              <w:rPr>
                <w:rStyle w:val="Firstpagetablebold"/>
              </w:rPr>
              <w:t xml:space="preserve">That the </w:t>
            </w:r>
            <w:r w:rsidR="00DA0583">
              <w:rPr>
                <w:rStyle w:val="Firstpagetablebold"/>
                <w:color w:val="auto"/>
              </w:rPr>
              <w:t xml:space="preserve">Company’s </w:t>
            </w:r>
            <w:r w:rsidR="00DA0583" w:rsidRPr="0037102E">
              <w:rPr>
                <w:rStyle w:val="Firstpagetablebold"/>
                <w:color w:val="auto"/>
              </w:rPr>
              <w:t xml:space="preserve">Shareholder resolves </w:t>
            </w:r>
            <w:r w:rsidR="00DA0583">
              <w:rPr>
                <w:rStyle w:val="Firstpagetablebold"/>
                <w:color w:val="auto"/>
              </w:rPr>
              <w:t>to</w:t>
            </w:r>
            <w:r w:rsidR="0050144E">
              <w:rPr>
                <w:rStyle w:val="Firstpagetablebold"/>
                <w:color w:val="auto"/>
              </w:rPr>
              <w:t>:</w:t>
            </w:r>
          </w:p>
        </w:tc>
      </w:tr>
      <w:tr w:rsidR="0030208D" w:rsidRPr="00975B07" w:rsidTr="00D42188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0208D" w:rsidRPr="00975B07" w:rsidRDefault="0030208D" w:rsidP="004A6D2F"/>
        </w:tc>
        <w:tc>
          <w:tcPr>
            <w:tcW w:w="8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06EE" w:rsidRDefault="00D31419" w:rsidP="0050144E">
            <w:pPr>
              <w:pStyle w:val="ListParagraph"/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Agree to the </w:t>
            </w:r>
            <w:r w:rsidR="00D42188">
              <w:rPr>
                <w:rStyle w:val="Firstpagetablebold"/>
              </w:rPr>
              <w:t>acqui</w:t>
            </w:r>
            <w:r>
              <w:rPr>
                <w:rStyle w:val="Firstpagetablebold"/>
              </w:rPr>
              <w:t>sition of the</w:t>
            </w:r>
            <w:r w:rsidR="00D42188">
              <w:rPr>
                <w:rStyle w:val="Firstpagetablebold"/>
              </w:rPr>
              <w:t xml:space="preserve">  Lucy Faithfull House site from Oxford City Council and </w:t>
            </w:r>
            <w:r>
              <w:rPr>
                <w:rStyle w:val="Firstpagetablebold"/>
              </w:rPr>
              <w:t>its inclusion in the Company’s Business Plan</w:t>
            </w:r>
            <w:r w:rsidR="00F706EE">
              <w:rPr>
                <w:rStyle w:val="Firstpagetablebold"/>
              </w:rPr>
              <w:t>; and</w:t>
            </w:r>
          </w:p>
          <w:p w:rsidR="00F706EE" w:rsidRPr="001356F1" w:rsidRDefault="00F706EE" w:rsidP="0050144E">
            <w:pPr>
              <w:pStyle w:val="ListParagraph"/>
            </w:pPr>
            <w:r>
              <w:rPr>
                <w:rStyle w:val="Firstpagetablebold"/>
              </w:rPr>
              <w:t>Support the provision of a loan facility of up to £13 million to facilitate the development of the site.</w:t>
            </w: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D50FD1">
        <w:tc>
          <w:tcPr>
            <w:tcW w:w="8844" w:type="dxa"/>
            <w:gridSpan w:val="2"/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D50FD1">
        <w:tc>
          <w:tcPr>
            <w:tcW w:w="2438" w:type="dxa"/>
            <w:shd w:val="clear" w:color="auto" w:fill="auto"/>
          </w:tcPr>
          <w:p w:rsidR="00ED5860" w:rsidRPr="00975B07" w:rsidRDefault="00ED5860" w:rsidP="001013B0">
            <w:r w:rsidRPr="00975B07">
              <w:t xml:space="preserve">Appendix </w:t>
            </w:r>
            <w:r w:rsidR="001013B0">
              <w:t>1- Confidential</w:t>
            </w:r>
          </w:p>
        </w:tc>
        <w:tc>
          <w:tcPr>
            <w:tcW w:w="6406" w:type="dxa"/>
          </w:tcPr>
          <w:p w:rsidR="00ED5860" w:rsidRPr="001356F1" w:rsidRDefault="003010FA" w:rsidP="003010FA">
            <w:bookmarkStart w:id="0" w:name="_GoBack"/>
            <w:bookmarkEnd w:id="0"/>
            <w:r w:rsidRPr="000F05C1">
              <w:rPr>
                <w:color w:val="auto"/>
              </w:rPr>
              <w:t>Lucy Faithfull House Feasibility</w:t>
            </w:r>
          </w:p>
        </w:tc>
      </w:tr>
    </w:tbl>
    <w:p w:rsidR="0040736F" w:rsidRPr="001356F1" w:rsidRDefault="00F66DCA" w:rsidP="003202F7">
      <w:pPr>
        <w:pStyle w:val="Heading1"/>
        <w:ind w:right="367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E87F7A" w:rsidRPr="00DA0583" w:rsidRDefault="00D42188" w:rsidP="003202F7">
      <w:pPr>
        <w:pStyle w:val="ListParagraph"/>
        <w:numPr>
          <w:ilvl w:val="0"/>
          <w:numId w:val="35"/>
        </w:numPr>
        <w:tabs>
          <w:tab w:val="clear" w:pos="426"/>
        </w:tabs>
        <w:spacing w:after="0"/>
        <w:ind w:right="367"/>
        <w:jc w:val="both"/>
      </w:pPr>
      <w:r w:rsidRPr="003202F7">
        <w:rPr>
          <w:color w:val="auto"/>
        </w:rPr>
        <w:t xml:space="preserve">Lucy Faithfull House was a hostel in Oxford city centre providing services and accommodation to homeless people. The hostel closed last year </w:t>
      </w:r>
      <w:r w:rsidR="00B3798B" w:rsidRPr="003202F7">
        <w:rPr>
          <w:color w:val="auto"/>
        </w:rPr>
        <w:t xml:space="preserve">after the services and accommodation were decommissioned by the County Council </w:t>
      </w:r>
      <w:r w:rsidR="008F5784" w:rsidRPr="003202F7">
        <w:rPr>
          <w:color w:val="auto"/>
        </w:rPr>
        <w:t xml:space="preserve">with </w:t>
      </w:r>
      <w:r w:rsidR="00B3798B" w:rsidRPr="003202F7">
        <w:rPr>
          <w:color w:val="auto"/>
        </w:rPr>
        <w:t xml:space="preserve">the homelessness units </w:t>
      </w:r>
      <w:r w:rsidR="008F5784" w:rsidRPr="003202F7">
        <w:rPr>
          <w:color w:val="auto"/>
        </w:rPr>
        <w:t xml:space="preserve">being </w:t>
      </w:r>
      <w:r w:rsidR="00B3798B" w:rsidRPr="003202F7">
        <w:rPr>
          <w:color w:val="auto"/>
        </w:rPr>
        <w:t>re-provided elsewhere.  The City Council as freeholder then purchased the long lease back from Riverside</w:t>
      </w:r>
      <w:r w:rsidR="00070423" w:rsidRPr="003202F7">
        <w:rPr>
          <w:color w:val="auto"/>
        </w:rPr>
        <w:t xml:space="preserve"> in order to control the future of the site. The Council has subsequently</w:t>
      </w:r>
      <w:r w:rsidRPr="003202F7">
        <w:rPr>
          <w:color w:val="auto"/>
        </w:rPr>
        <w:t xml:space="preserve"> taken the decision to demolish </w:t>
      </w:r>
      <w:r w:rsidR="00D31419" w:rsidRPr="003202F7">
        <w:rPr>
          <w:color w:val="auto"/>
        </w:rPr>
        <w:t xml:space="preserve">the buildings </w:t>
      </w:r>
      <w:r w:rsidRPr="003202F7">
        <w:rPr>
          <w:color w:val="auto"/>
        </w:rPr>
        <w:t>and arrange for the site to be redeveloped</w:t>
      </w:r>
      <w:r w:rsidR="00070423" w:rsidRPr="003202F7">
        <w:rPr>
          <w:color w:val="auto"/>
        </w:rPr>
        <w:t xml:space="preserve"> for housing</w:t>
      </w:r>
      <w:r w:rsidRPr="003202F7">
        <w:rPr>
          <w:color w:val="auto"/>
        </w:rPr>
        <w:t>.</w:t>
      </w:r>
    </w:p>
    <w:p w:rsidR="00DA0583" w:rsidRPr="00DA0583" w:rsidRDefault="00DA0583" w:rsidP="003202F7">
      <w:pPr>
        <w:spacing w:after="0"/>
        <w:ind w:left="425" w:right="367" w:hanging="425"/>
        <w:jc w:val="both"/>
      </w:pPr>
    </w:p>
    <w:p w:rsidR="008F5784" w:rsidRPr="00C5018A" w:rsidRDefault="008F5784" w:rsidP="003202F7">
      <w:pPr>
        <w:pStyle w:val="ListParagraph"/>
        <w:tabs>
          <w:tab w:val="clear" w:pos="426"/>
        </w:tabs>
        <w:ind w:left="425" w:right="-58" w:hanging="425"/>
        <w:jc w:val="both"/>
        <w:rPr>
          <w:color w:val="auto"/>
        </w:rPr>
      </w:pPr>
      <w:r w:rsidRPr="00C5018A">
        <w:rPr>
          <w:color w:val="auto"/>
        </w:rPr>
        <w:t>A</w:t>
      </w:r>
      <w:r w:rsidR="00C5018A" w:rsidRPr="00C5018A">
        <w:rPr>
          <w:color w:val="auto"/>
        </w:rPr>
        <w:t>t a meeting on 16 October 2017</w:t>
      </w:r>
      <w:r w:rsidRPr="00C5018A">
        <w:rPr>
          <w:color w:val="auto"/>
        </w:rPr>
        <w:t xml:space="preserve"> the Council’s City Executive Board resolved to:</w:t>
      </w:r>
    </w:p>
    <w:p w:rsidR="003202F7" w:rsidRPr="004C5F42" w:rsidRDefault="003202F7" w:rsidP="004C5F42">
      <w:pPr>
        <w:ind w:left="425"/>
        <w:rPr>
          <w:i/>
          <w:color w:val="auto"/>
        </w:rPr>
      </w:pPr>
      <w:r w:rsidRPr="004C5F42">
        <w:rPr>
          <w:i/>
          <w:color w:val="auto"/>
        </w:rPr>
        <w:t>Authorise officers to investigate the viability of undertaking the development of the site with Oxford City Housing Limited (OCHL) as part of its overall development programme.</w:t>
      </w:r>
    </w:p>
    <w:p w:rsidR="003202F7" w:rsidRPr="003202F7" w:rsidRDefault="003202F7" w:rsidP="003202F7">
      <w:pPr>
        <w:ind w:right="-58"/>
        <w:jc w:val="both"/>
        <w:rPr>
          <w:color w:val="FF0000"/>
        </w:rPr>
      </w:pPr>
    </w:p>
    <w:p w:rsidR="00633578" w:rsidRPr="001356F1" w:rsidRDefault="00D42188" w:rsidP="003202F7">
      <w:pPr>
        <w:pStyle w:val="Heading1"/>
        <w:ind w:left="425" w:right="367" w:hanging="425"/>
        <w:jc w:val="both"/>
      </w:pPr>
      <w:r>
        <w:lastRenderedPageBreak/>
        <w:t>Detail</w:t>
      </w:r>
    </w:p>
    <w:p w:rsidR="00D42188" w:rsidRDefault="008F5784" w:rsidP="003202F7">
      <w:pPr>
        <w:pStyle w:val="ListParagraph"/>
        <w:tabs>
          <w:tab w:val="clear" w:pos="426"/>
        </w:tabs>
        <w:spacing w:after="0"/>
        <w:ind w:left="425" w:right="367" w:hanging="425"/>
        <w:jc w:val="both"/>
        <w:rPr>
          <w:rStyle w:val="ListParagraphChar"/>
          <w:color w:val="auto"/>
        </w:rPr>
      </w:pPr>
      <w:r>
        <w:rPr>
          <w:rStyle w:val="ListParagraphChar"/>
          <w:color w:val="auto"/>
        </w:rPr>
        <w:t>The Council undertook f</w:t>
      </w:r>
      <w:r w:rsidR="00D42188">
        <w:rPr>
          <w:rStyle w:val="ListParagraphChar"/>
          <w:color w:val="auto"/>
        </w:rPr>
        <w:t>easibility work on the site in 2016 with both architectural and cost consultancy input which demonstrated that the site was capable of delivering a flatted scheme of between 40-55 homes consisting of 1 and 2 bed flats.</w:t>
      </w:r>
    </w:p>
    <w:p w:rsidR="0050144E" w:rsidRPr="0050144E" w:rsidRDefault="0050144E" w:rsidP="003202F7">
      <w:pPr>
        <w:spacing w:after="0"/>
        <w:ind w:left="425" w:right="367" w:hanging="425"/>
        <w:jc w:val="both"/>
        <w:rPr>
          <w:rStyle w:val="ListParagraphChar"/>
          <w:color w:val="auto"/>
        </w:rPr>
      </w:pPr>
    </w:p>
    <w:p w:rsidR="009904BF" w:rsidRDefault="00D42188" w:rsidP="003202F7">
      <w:pPr>
        <w:pStyle w:val="ListParagraph"/>
        <w:tabs>
          <w:tab w:val="clear" w:pos="426"/>
        </w:tabs>
        <w:spacing w:after="0"/>
        <w:ind w:left="425" w:right="367" w:hanging="425"/>
        <w:jc w:val="both"/>
      </w:pPr>
      <w:r>
        <w:t>The cost analysis updated with advice from</w:t>
      </w:r>
      <w:r w:rsidR="00070423">
        <w:t xml:space="preserve"> WSP,</w:t>
      </w:r>
      <w:r>
        <w:t xml:space="preserve"> </w:t>
      </w:r>
      <w:r w:rsidR="00D31419">
        <w:t xml:space="preserve">the </w:t>
      </w:r>
      <w:r w:rsidR="002D6F91">
        <w:t>Company’s</w:t>
      </w:r>
      <w:r>
        <w:t xml:space="preserve"> development management partners</w:t>
      </w:r>
      <w:r w:rsidR="00D31419">
        <w:t>,</w:t>
      </w:r>
      <w:r>
        <w:t xml:space="preserve"> indicate</w:t>
      </w:r>
      <w:r w:rsidR="00D31419">
        <w:t>s</w:t>
      </w:r>
      <w:r>
        <w:t xml:space="preserve"> that a completed scheme could be delivered for around £2,500/</w:t>
      </w:r>
      <w:r w:rsidR="00070423">
        <w:t>m2,</w:t>
      </w:r>
      <w:r>
        <w:t xml:space="preserve"> giving a cost for the largest conceivable scheme of around £12.3m including fees.</w:t>
      </w:r>
    </w:p>
    <w:p w:rsidR="0050144E" w:rsidRDefault="0050144E" w:rsidP="003202F7">
      <w:pPr>
        <w:spacing w:after="0"/>
        <w:ind w:left="425" w:right="367" w:hanging="425"/>
        <w:jc w:val="both"/>
      </w:pPr>
    </w:p>
    <w:p w:rsidR="0040736F" w:rsidRPr="009904BF" w:rsidRDefault="002329CF" w:rsidP="003202F7">
      <w:pPr>
        <w:pStyle w:val="ListParagraph"/>
        <w:numPr>
          <w:ilvl w:val="0"/>
          <w:numId w:val="0"/>
        </w:numPr>
        <w:tabs>
          <w:tab w:val="clear" w:pos="426"/>
        </w:tabs>
        <w:ind w:left="425" w:right="367" w:hanging="425"/>
        <w:jc w:val="both"/>
      </w:pPr>
      <w:r w:rsidRPr="009904BF">
        <w:rPr>
          <w:b/>
        </w:rPr>
        <w:t>Financial implications</w:t>
      </w:r>
    </w:p>
    <w:p w:rsidR="008F5784" w:rsidRDefault="0040444A" w:rsidP="003202F7">
      <w:pPr>
        <w:pStyle w:val="ListParagraph"/>
        <w:tabs>
          <w:tab w:val="clear" w:pos="426"/>
        </w:tabs>
        <w:spacing w:after="0"/>
        <w:ind w:left="425" w:right="367" w:hanging="425"/>
        <w:jc w:val="both"/>
      </w:pPr>
      <w:r>
        <w:t xml:space="preserve">The potential financial performance of the scheme is outlined in </w:t>
      </w:r>
      <w:r w:rsidR="00D50FD1">
        <w:t>the OCHL</w:t>
      </w:r>
      <w:r w:rsidR="003E6F6D">
        <w:t xml:space="preserve"> </w:t>
      </w:r>
      <w:r w:rsidR="00D50FD1">
        <w:t xml:space="preserve">Development </w:t>
      </w:r>
      <w:r w:rsidR="009904BF">
        <w:t xml:space="preserve">Progress </w:t>
      </w:r>
      <w:r w:rsidR="00D50FD1">
        <w:t xml:space="preserve">Report </w:t>
      </w:r>
      <w:r w:rsidR="008F5784">
        <w:t>which appears elsewhere on the agenda</w:t>
      </w:r>
      <w:r>
        <w:t xml:space="preserve"> wh</w:t>
      </w:r>
      <w:r w:rsidR="008F5784">
        <w:t>ich shows</w:t>
      </w:r>
      <w:r>
        <w:t xml:space="preserve"> the scheme meets the </w:t>
      </w:r>
      <w:r w:rsidR="00D50FD1">
        <w:t xml:space="preserve">development financial </w:t>
      </w:r>
      <w:r>
        <w:t xml:space="preserve">parameters of the </w:t>
      </w:r>
      <w:r w:rsidR="008F5784">
        <w:t>C</w:t>
      </w:r>
      <w:r>
        <w:t>ompany. As the scheme is not currently contained within the Business Plan, funding would need to be secured from Oxford City Council to acquire the site and undertake the necessary development work</w:t>
      </w:r>
      <w:r w:rsidR="00D50FD1">
        <w:t>.</w:t>
      </w:r>
      <w:r>
        <w:t xml:space="preserve"> </w:t>
      </w:r>
    </w:p>
    <w:p w:rsidR="0050144E" w:rsidRDefault="0050144E" w:rsidP="003202F7">
      <w:pPr>
        <w:spacing w:after="0"/>
        <w:ind w:left="425" w:right="367" w:hanging="425"/>
        <w:jc w:val="both"/>
      </w:pPr>
    </w:p>
    <w:p w:rsidR="00E87F7A" w:rsidRPr="001356F1" w:rsidRDefault="009904BF" w:rsidP="003202F7">
      <w:pPr>
        <w:pStyle w:val="ListParagraph"/>
        <w:tabs>
          <w:tab w:val="clear" w:pos="426"/>
        </w:tabs>
        <w:ind w:left="425" w:right="367" w:hanging="425"/>
        <w:jc w:val="both"/>
      </w:pPr>
      <w:r>
        <w:t>It is therefore recommended that t</w:t>
      </w:r>
      <w:r w:rsidR="008F5784">
        <w:t xml:space="preserve">he </w:t>
      </w:r>
      <w:r>
        <w:t>Shareholder</w:t>
      </w:r>
      <w:r w:rsidR="008F5784">
        <w:t xml:space="preserve"> </w:t>
      </w:r>
      <w:r>
        <w:t>support provision of</w:t>
      </w:r>
      <w:r w:rsidR="008F5784">
        <w:t xml:space="preserve"> a £13m loan facility from </w:t>
      </w:r>
      <w:r w:rsidR="00C5018A">
        <w:t>Oxford City</w:t>
      </w:r>
      <w:r w:rsidR="008F5784">
        <w:t xml:space="preserve"> Council to cover the estimated build costs including contingency and associated professional fees.</w:t>
      </w:r>
      <w:r>
        <w:t xml:space="preserve"> This will be the subject of an officer report to </w:t>
      </w:r>
      <w:r w:rsidR="00C5018A" w:rsidRPr="00C5018A">
        <w:rPr>
          <w:color w:val="auto"/>
        </w:rPr>
        <w:t>the Council’s City Executive Board</w:t>
      </w:r>
      <w:r>
        <w:t xml:space="preserve"> </w:t>
      </w:r>
      <w:r w:rsidR="00C5018A">
        <w:t>conditional</w:t>
      </w:r>
      <w:r w:rsidR="0040444A">
        <w:t xml:space="preserve"> to </w:t>
      </w:r>
      <w:r w:rsidR="004C5F42">
        <w:t>S</w:t>
      </w:r>
      <w:r w:rsidR="0040444A">
        <w:t>hareholder consent being obtained.</w:t>
      </w:r>
    </w:p>
    <w:p w:rsidR="0040736F" w:rsidRPr="001356F1" w:rsidRDefault="00DA614B" w:rsidP="003202F7">
      <w:pPr>
        <w:pStyle w:val="Heading1"/>
        <w:ind w:left="425" w:right="367" w:hanging="425"/>
        <w:jc w:val="both"/>
      </w:pPr>
      <w:r w:rsidRPr="001356F1">
        <w:t>Legal issues</w:t>
      </w:r>
    </w:p>
    <w:p w:rsidR="00E87F7A" w:rsidRPr="001356F1" w:rsidRDefault="0040444A" w:rsidP="003202F7">
      <w:pPr>
        <w:pStyle w:val="ListParagraph"/>
        <w:tabs>
          <w:tab w:val="clear" w:pos="426"/>
        </w:tabs>
        <w:ind w:left="425" w:right="367" w:hanging="425"/>
        <w:jc w:val="both"/>
      </w:pPr>
      <w:r>
        <w:t>Under the terms of the Shareholder Agreement, this is a matter which is reserved for the shareholder.</w:t>
      </w:r>
    </w:p>
    <w:p w:rsidR="002329CF" w:rsidRPr="001356F1" w:rsidRDefault="002329CF" w:rsidP="003202F7">
      <w:pPr>
        <w:pStyle w:val="Heading1"/>
        <w:ind w:left="425" w:right="367" w:hanging="425"/>
        <w:jc w:val="both"/>
      </w:pPr>
      <w:r w:rsidRPr="001356F1">
        <w:t>Level of risk</w:t>
      </w:r>
    </w:p>
    <w:p w:rsidR="00070423" w:rsidRDefault="00D50FD1" w:rsidP="003202F7">
      <w:pPr>
        <w:pStyle w:val="ListParagraph"/>
        <w:tabs>
          <w:tab w:val="clear" w:pos="426"/>
        </w:tabs>
        <w:spacing w:after="0"/>
        <w:ind w:left="425" w:right="367" w:hanging="425"/>
        <w:jc w:val="both"/>
      </w:pPr>
      <w:r>
        <w:t>The scheme is a low risk developm</w:t>
      </w:r>
      <w:r w:rsidR="002E722D">
        <w:t xml:space="preserve">ent due to the high </w:t>
      </w:r>
      <w:r w:rsidR="004C5F42">
        <w:t xml:space="preserve">land </w:t>
      </w:r>
      <w:r w:rsidR="002E722D">
        <w:t xml:space="preserve">values </w:t>
      </w:r>
      <w:r w:rsidR="004C5F42">
        <w:t>of the site</w:t>
      </w:r>
      <w:r w:rsidR="002E722D">
        <w:t xml:space="preserve"> </w:t>
      </w:r>
      <w:proofErr w:type="gramStart"/>
      <w:r>
        <w:t>mitigating</w:t>
      </w:r>
      <w:proofErr w:type="gramEnd"/>
      <w:r>
        <w:t xml:space="preserve"> against </w:t>
      </w:r>
      <w:r w:rsidR="002E722D">
        <w:t xml:space="preserve">high </w:t>
      </w:r>
      <w:r>
        <w:t>build costs. There is a possibility of archaeological remains being present which could slow down progress and this will be proactively managed with the Council’s archaeology team to minimise possible disruption and preserve</w:t>
      </w:r>
      <w:r w:rsidR="002E722D">
        <w:t xml:space="preserve"> and recover</w:t>
      </w:r>
      <w:r>
        <w:t xml:space="preserve"> any remains that may be in situ</w:t>
      </w:r>
      <w:r w:rsidR="00DA0583">
        <w:t>.</w:t>
      </w:r>
    </w:p>
    <w:p w:rsidR="0050144E" w:rsidRDefault="0050144E" w:rsidP="003202F7">
      <w:pPr>
        <w:spacing w:after="0"/>
        <w:ind w:left="425" w:right="367" w:hanging="425"/>
        <w:jc w:val="both"/>
      </w:pPr>
    </w:p>
    <w:p w:rsidR="00070423" w:rsidRDefault="00070423" w:rsidP="003202F7">
      <w:pPr>
        <w:pStyle w:val="ListParagraph"/>
        <w:tabs>
          <w:tab w:val="clear" w:pos="426"/>
        </w:tabs>
        <w:ind w:left="425" w:right="367" w:hanging="425"/>
        <w:jc w:val="both"/>
      </w:pPr>
      <w:r>
        <w:t>The site will be added to OCHL’s overall delivery programme which will continue to be managed closely to minimise any disruption</w:t>
      </w:r>
      <w:r w:rsidR="00DA0583">
        <w:t>.</w:t>
      </w:r>
    </w:p>
    <w:p w:rsidR="004711FC" w:rsidRPr="001356F1" w:rsidRDefault="004711FC" w:rsidP="003202F7">
      <w:pPr>
        <w:pStyle w:val="ListParagraph"/>
        <w:numPr>
          <w:ilvl w:val="0"/>
          <w:numId w:val="0"/>
        </w:numPr>
        <w:ind w:left="426" w:right="367"/>
      </w:pPr>
    </w:p>
    <w:p w:rsidR="002329CF" w:rsidRPr="001356F1" w:rsidRDefault="002329CF" w:rsidP="003202F7">
      <w:pPr>
        <w:ind w:right="367"/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3202F7">
            <w:pPr>
              <w:ind w:right="367"/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D50FD1" w:rsidP="003202F7">
            <w:pPr>
              <w:ind w:right="367"/>
            </w:pPr>
            <w:r>
              <w:t>Alan Wylde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3202F7">
            <w:pPr>
              <w:ind w:right="367"/>
            </w:pPr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3202F7">
            <w:pPr>
              <w:ind w:right="367"/>
            </w:pPr>
            <w:r w:rsidRPr="001356F1">
              <w:t xml:space="preserve">01865 </w:t>
            </w:r>
            <w:r w:rsidR="00D50FD1">
              <w:t>252319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3202F7">
            <w:pPr>
              <w:ind w:right="367"/>
            </w:pPr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D50FD1" w:rsidP="003202F7">
            <w:pPr>
              <w:ind w:right="367"/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awylde@oxford.gov.uk</w:t>
            </w:r>
          </w:p>
        </w:tc>
      </w:tr>
    </w:tbl>
    <w:p w:rsidR="004456DD" w:rsidRPr="009E51FC" w:rsidRDefault="004456DD" w:rsidP="0093067A"/>
    <w:sectPr w:rsidR="004456DD" w:rsidRPr="009E51FC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B4" w:rsidRDefault="006746B4" w:rsidP="004A6D2F">
      <w:r>
        <w:separator/>
      </w:r>
    </w:p>
  </w:endnote>
  <w:endnote w:type="continuationSeparator" w:id="0">
    <w:p w:rsidR="006746B4" w:rsidRDefault="006746B4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B4" w:rsidRDefault="006746B4" w:rsidP="004A6D2F">
      <w:r>
        <w:separator/>
      </w:r>
    </w:p>
  </w:footnote>
  <w:footnote w:type="continuationSeparator" w:id="0">
    <w:p w:rsidR="006746B4" w:rsidRDefault="006746B4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E1104C" w:rsidP="00D5547E">
    <w:pPr>
      <w:pStyle w:val="Header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E8B1BF1" wp14:editId="39BBDF31">
              <wp:simplePos x="0" y="0"/>
              <wp:positionH relativeFrom="column">
                <wp:posOffset>108585</wp:posOffset>
              </wp:positionH>
              <wp:positionV relativeFrom="paragraph">
                <wp:posOffset>632460</wp:posOffset>
              </wp:positionV>
              <wp:extent cx="1600835" cy="0"/>
              <wp:effectExtent l="0" t="0" r="1841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60083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00F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5BDA8A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55pt,49.8pt" to="134.6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" strokecolor="blue" strokeweight="1.5pt">
              <o:lock v:ext="edit" shapetype="f"/>
            </v:line>
          </w:pict>
        </mc:Fallback>
      </mc:AlternateContent>
    </w:r>
    <w:r w:rsidRPr="00733AB3">
      <w:rPr>
        <w:rFonts w:ascii="Microsoft Sans Serif" w:eastAsia="Gulim" w:hAnsi="Microsoft Sans Serif" w:cs="Microsoft Sans Serif"/>
        <w:b/>
        <w:noProof/>
        <w:color w:val="0000FF"/>
        <w:sz w:val="56"/>
        <w:szCs w:val="5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DB9059" wp14:editId="7F3D6E42">
              <wp:simplePos x="0" y="0"/>
              <wp:positionH relativeFrom="column">
                <wp:posOffset>-1905</wp:posOffset>
              </wp:positionH>
              <wp:positionV relativeFrom="paragraph">
                <wp:posOffset>112957</wp:posOffset>
              </wp:positionV>
              <wp:extent cx="2374265" cy="946768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467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3AB3" w:rsidRPr="0038198E" w:rsidRDefault="00733AB3" w:rsidP="00733AB3">
                          <w:pPr>
                            <w:spacing w:after="0"/>
                            <w:rPr>
                              <w:rFonts w:ascii="Microsoft Sans Serif" w:eastAsia="Gulim" w:hAnsi="Microsoft Sans Serif" w:cs="Microsoft Sans Serif"/>
                              <w:b/>
                              <w:color w:val="0000FF"/>
                              <w:sz w:val="56"/>
                              <w:szCs w:val="56"/>
                              <w:lang w:eastAsia="en-US"/>
                            </w:rPr>
                          </w:pPr>
                          <w:r w:rsidRPr="0038198E">
                            <w:rPr>
                              <w:rFonts w:ascii="Microsoft Sans Serif" w:eastAsia="Gulim" w:hAnsi="Microsoft Sans Serif" w:cs="Microsoft Sans Serif"/>
                              <w:b/>
                              <w:color w:val="0000FF"/>
                              <w:sz w:val="56"/>
                              <w:szCs w:val="56"/>
                              <w:lang w:eastAsia="en-US"/>
                            </w:rPr>
                            <w:t>OCHL</w:t>
                          </w:r>
                        </w:p>
                        <w:p w:rsidR="00733AB3" w:rsidRPr="0038198E" w:rsidRDefault="00733AB3" w:rsidP="00733AB3">
                          <w:pPr>
                            <w:spacing w:after="0"/>
                            <w:rPr>
                              <w:rFonts w:ascii="Gulim" w:eastAsia="Gulim" w:hAnsi="Gulim" w:cs="Tahoma"/>
                              <w:b/>
                              <w:color w:val="0000FF"/>
                              <w:sz w:val="20"/>
                              <w:szCs w:val="20"/>
                              <w:lang w:eastAsia="en-US"/>
                            </w:rPr>
                          </w:pPr>
                        </w:p>
                        <w:p w:rsidR="00733AB3" w:rsidRDefault="00733AB3" w:rsidP="00733AB3">
                          <w:pPr>
                            <w:pStyle w:val="Header"/>
                            <w:rPr>
                              <w:rFonts w:ascii="Microsoft Sans Serif" w:eastAsia="Gulim" w:hAnsi="Microsoft Sans Serif" w:cs="Microsoft Sans Serif"/>
                              <w:color w:val="0000FF"/>
                              <w:sz w:val="20"/>
                              <w:szCs w:val="20"/>
                              <w:lang w:eastAsia="en-US"/>
                            </w:rPr>
                          </w:pPr>
                          <w:r w:rsidRPr="0038198E">
                            <w:rPr>
                              <w:rFonts w:ascii="Microsoft Sans Serif" w:eastAsia="Gulim" w:hAnsi="Microsoft Sans Serif" w:cs="Microsoft Sans Serif"/>
                              <w:color w:val="0000FF"/>
                              <w:sz w:val="20"/>
                              <w:szCs w:val="20"/>
                              <w:lang w:eastAsia="en-US"/>
                            </w:rPr>
                            <w:t>Oxford City Housing Limited</w:t>
                          </w:r>
                        </w:p>
                        <w:p w:rsidR="00733AB3" w:rsidRDefault="00733A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15pt;margin-top:8.9pt;width:186.95pt;height:74.5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" filled="f" stroked="f">
              <v:textbox>
                <w:txbxContent>
                  <w:p w:rsidR="00733AB3" w:rsidRPr="0038198E" w:rsidRDefault="00733AB3" w:rsidP="00733AB3">
                    <w:pPr>
                      <w:spacing w:after="0"/>
                      <w:rPr>
                        <w:rFonts w:ascii="Microsoft Sans Serif" w:eastAsia="Gulim" w:hAnsi="Microsoft Sans Serif" w:cs="Microsoft Sans Serif"/>
                        <w:b/>
                        <w:color w:val="0000FF"/>
                        <w:sz w:val="56"/>
                        <w:szCs w:val="56"/>
                        <w:lang w:eastAsia="en-US"/>
                      </w:rPr>
                    </w:pPr>
                    <w:r w:rsidRPr="0038198E">
                      <w:rPr>
                        <w:rFonts w:ascii="Microsoft Sans Serif" w:eastAsia="Gulim" w:hAnsi="Microsoft Sans Serif" w:cs="Microsoft Sans Serif"/>
                        <w:b/>
                        <w:color w:val="0000FF"/>
                        <w:sz w:val="56"/>
                        <w:szCs w:val="56"/>
                        <w:lang w:eastAsia="en-US"/>
                      </w:rPr>
                      <w:t>OCHL</w:t>
                    </w:r>
                  </w:p>
                  <w:p w:rsidR="00733AB3" w:rsidRPr="0038198E" w:rsidRDefault="00733AB3" w:rsidP="00733AB3">
                    <w:pPr>
                      <w:spacing w:after="0"/>
                      <w:rPr>
                        <w:rFonts w:ascii="Gulim" w:eastAsia="Gulim" w:hAnsi="Gulim" w:cs="Tahoma"/>
                        <w:b/>
                        <w:color w:val="0000FF"/>
                        <w:sz w:val="20"/>
                        <w:szCs w:val="20"/>
                        <w:lang w:eastAsia="en-US"/>
                      </w:rPr>
                    </w:pPr>
                  </w:p>
                  <w:p w:rsidR="00733AB3" w:rsidRDefault="00733AB3" w:rsidP="00733AB3">
                    <w:pPr>
                      <w:pStyle w:val="Header"/>
                      <w:rPr>
                        <w:rFonts w:ascii="Microsoft Sans Serif" w:eastAsia="Gulim" w:hAnsi="Microsoft Sans Serif" w:cs="Microsoft Sans Serif"/>
                        <w:color w:val="0000FF"/>
                        <w:sz w:val="20"/>
                        <w:szCs w:val="20"/>
                        <w:lang w:eastAsia="en-US"/>
                      </w:rPr>
                    </w:pPr>
                    <w:r w:rsidRPr="0038198E">
                      <w:rPr>
                        <w:rFonts w:ascii="Microsoft Sans Serif" w:eastAsia="Gulim" w:hAnsi="Microsoft Sans Serif" w:cs="Microsoft Sans Serif"/>
                        <w:color w:val="0000FF"/>
                        <w:sz w:val="20"/>
                        <w:szCs w:val="20"/>
                        <w:lang w:eastAsia="en-US"/>
                      </w:rPr>
                      <w:t>Oxford City Housing Limited</w:t>
                    </w:r>
                  </w:p>
                  <w:p w:rsidR="00733AB3" w:rsidRDefault="00733AB3"/>
                </w:txbxContent>
              </v:textbox>
            </v:shape>
          </w:pict>
        </mc:Fallback>
      </mc:AlternateContent>
    </w:r>
    <w:r w:rsidR="00484329">
      <w:rPr>
        <w:noProof/>
      </w:rPr>
      <w:drawing>
        <wp:inline distT="0" distB="0" distL="0" distR="0" wp14:anchorId="72BBE890" wp14:editId="2DD5CFA1">
          <wp:extent cx="841375" cy="1116965"/>
          <wp:effectExtent l="0" t="0" r="0" b="6985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04C" w:rsidRDefault="00E1104C" w:rsidP="00D554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BA5FD8"/>
    <w:multiLevelType w:val="multilevel"/>
    <w:tmpl w:val="43D6D2FA"/>
    <w:numStyleLink w:val="StyleBulletedSymbolsymbolLeft063cmHanging063cm"/>
  </w:abstractNum>
  <w:abstractNum w:abstractNumId="27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35287"/>
    <w:multiLevelType w:val="hybridMultilevel"/>
    <w:tmpl w:val="78502F34"/>
    <w:lvl w:ilvl="0" w:tplc="0809000F">
      <w:start w:val="1"/>
      <w:numFmt w:val="decimal"/>
      <w:lvlText w:val="%1."/>
      <w:lvlJc w:val="left"/>
      <w:pPr>
        <w:ind w:left="428" w:hanging="360"/>
      </w:p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9">
    <w:nsid w:val="62A22831"/>
    <w:multiLevelType w:val="multilevel"/>
    <w:tmpl w:val="43D6D2FA"/>
    <w:numStyleLink w:val="StyleBulletedSymbolsymbolLeft063cmHanging063cm"/>
  </w:abstractNum>
  <w:abstractNum w:abstractNumId="3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16223"/>
    <w:multiLevelType w:val="multilevel"/>
    <w:tmpl w:val="E67CE66C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798365C6"/>
    <w:multiLevelType w:val="multilevel"/>
    <w:tmpl w:val="90F0D6B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1"/>
  </w:num>
  <w:num w:numId="3">
    <w:abstractNumId w:val="22"/>
  </w:num>
  <w:num w:numId="4">
    <w:abstractNumId w:val="18"/>
  </w:num>
  <w:num w:numId="5">
    <w:abstractNumId w:val="27"/>
  </w:num>
  <w:num w:numId="6">
    <w:abstractNumId w:val="32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3"/>
  </w:num>
  <w:num w:numId="15">
    <w:abstractNumId w:val="16"/>
  </w:num>
  <w:num w:numId="16">
    <w:abstractNumId w:val="11"/>
  </w:num>
  <w:num w:numId="17">
    <w:abstractNumId w:val="26"/>
  </w:num>
  <w:num w:numId="18">
    <w:abstractNumId w:val="12"/>
  </w:num>
  <w:num w:numId="19">
    <w:abstractNumId w:val="29"/>
  </w:num>
  <w:num w:numId="20">
    <w:abstractNumId w:val="17"/>
  </w:num>
  <w:num w:numId="21">
    <w:abstractNumId w:val="20"/>
  </w:num>
  <w:num w:numId="22">
    <w:abstractNumId w:val="14"/>
  </w:num>
  <w:num w:numId="23">
    <w:abstractNumId w:val="3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8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yates">
    <w15:presenceInfo w15:providerId="None" w15:userId="Jyat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29"/>
    <w:rsid w:val="000117D4"/>
    <w:rsid w:val="000314D7"/>
    <w:rsid w:val="00045F8B"/>
    <w:rsid w:val="00046D2B"/>
    <w:rsid w:val="00056263"/>
    <w:rsid w:val="00064D8A"/>
    <w:rsid w:val="00064F82"/>
    <w:rsid w:val="00066510"/>
    <w:rsid w:val="00070423"/>
    <w:rsid w:val="00077523"/>
    <w:rsid w:val="000C089F"/>
    <w:rsid w:val="000C3928"/>
    <w:rsid w:val="000C5E8E"/>
    <w:rsid w:val="000F05C1"/>
    <w:rsid w:val="000F4751"/>
    <w:rsid w:val="001013B0"/>
    <w:rsid w:val="0010524C"/>
    <w:rsid w:val="00111FB1"/>
    <w:rsid w:val="00113418"/>
    <w:rsid w:val="001356F1"/>
    <w:rsid w:val="00136994"/>
    <w:rsid w:val="0014128E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47C29"/>
    <w:rsid w:val="00260467"/>
    <w:rsid w:val="00263EA3"/>
    <w:rsid w:val="00280EAE"/>
    <w:rsid w:val="00284F85"/>
    <w:rsid w:val="00290915"/>
    <w:rsid w:val="002A22E2"/>
    <w:rsid w:val="002C64F7"/>
    <w:rsid w:val="002D6F91"/>
    <w:rsid w:val="002E722D"/>
    <w:rsid w:val="002F41F2"/>
    <w:rsid w:val="003010FA"/>
    <w:rsid w:val="00301BF3"/>
    <w:rsid w:val="0030208D"/>
    <w:rsid w:val="003202F7"/>
    <w:rsid w:val="00323418"/>
    <w:rsid w:val="003357BF"/>
    <w:rsid w:val="00364FAD"/>
    <w:rsid w:val="0036738F"/>
    <w:rsid w:val="0036759C"/>
    <w:rsid w:val="00367AE5"/>
    <w:rsid w:val="00367D71"/>
    <w:rsid w:val="0038150A"/>
    <w:rsid w:val="003B6E75"/>
    <w:rsid w:val="003B7DA1"/>
    <w:rsid w:val="003D0379"/>
    <w:rsid w:val="003D2574"/>
    <w:rsid w:val="003D4C59"/>
    <w:rsid w:val="003E6F6D"/>
    <w:rsid w:val="003F4267"/>
    <w:rsid w:val="00404032"/>
    <w:rsid w:val="0040444A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11FC"/>
    <w:rsid w:val="004738C5"/>
    <w:rsid w:val="00484329"/>
    <w:rsid w:val="00491046"/>
    <w:rsid w:val="004A2AC7"/>
    <w:rsid w:val="004A6D2F"/>
    <w:rsid w:val="004C2887"/>
    <w:rsid w:val="004C5F42"/>
    <w:rsid w:val="004D2626"/>
    <w:rsid w:val="004D6E26"/>
    <w:rsid w:val="004D77D3"/>
    <w:rsid w:val="004E2959"/>
    <w:rsid w:val="004F20EF"/>
    <w:rsid w:val="0050144E"/>
    <w:rsid w:val="0050321C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3320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50811"/>
    <w:rsid w:val="00661D3E"/>
    <w:rsid w:val="006746B4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33AB3"/>
    <w:rsid w:val="00737B93"/>
    <w:rsid w:val="00745BF0"/>
    <w:rsid w:val="007468DA"/>
    <w:rsid w:val="007615FE"/>
    <w:rsid w:val="0076655C"/>
    <w:rsid w:val="007742DC"/>
    <w:rsid w:val="00791437"/>
    <w:rsid w:val="007B0C2C"/>
    <w:rsid w:val="007B278E"/>
    <w:rsid w:val="007C1738"/>
    <w:rsid w:val="007C5C23"/>
    <w:rsid w:val="007E2A26"/>
    <w:rsid w:val="007F2348"/>
    <w:rsid w:val="00803F07"/>
    <w:rsid w:val="0080749A"/>
    <w:rsid w:val="0081633E"/>
    <w:rsid w:val="00821FB8"/>
    <w:rsid w:val="00822ACD"/>
    <w:rsid w:val="00855C66"/>
    <w:rsid w:val="00871EE4"/>
    <w:rsid w:val="008B293F"/>
    <w:rsid w:val="008B7371"/>
    <w:rsid w:val="008D3DDB"/>
    <w:rsid w:val="008F573F"/>
    <w:rsid w:val="008F5784"/>
    <w:rsid w:val="009034EC"/>
    <w:rsid w:val="0093067A"/>
    <w:rsid w:val="00941C60"/>
    <w:rsid w:val="00941FD1"/>
    <w:rsid w:val="00966D42"/>
    <w:rsid w:val="00971689"/>
    <w:rsid w:val="00973E90"/>
    <w:rsid w:val="00975B07"/>
    <w:rsid w:val="00980B4A"/>
    <w:rsid w:val="009904BF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77147"/>
    <w:rsid w:val="00A92D8F"/>
    <w:rsid w:val="00A955E7"/>
    <w:rsid w:val="00AB2988"/>
    <w:rsid w:val="00AB7999"/>
    <w:rsid w:val="00AD3292"/>
    <w:rsid w:val="00AE7AF0"/>
    <w:rsid w:val="00B105C6"/>
    <w:rsid w:val="00B3798B"/>
    <w:rsid w:val="00B500CA"/>
    <w:rsid w:val="00B86314"/>
    <w:rsid w:val="00B96A46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5018A"/>
    <w:rsid w:val="00C63C31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31419"/>
    <w:rsid w:val="00D42188"/>
    <w:rsid w:val="00D474CF"/>
    <w:rsid w:val="00D50FD1"/>
    <w:rsid w:val="00D5547E"/>
    <w:rsid w:val="00D80876"/>
    <w:rsid w:val="00D869A1"/>
    <w:rsid w:val="00DA0583"/>
    <w:rsid w:val="00DA413F"/>
    <w:rsid w:val="00DA4584"/>
    <w:rsid w:val="00DA614B"/>
    <w:rsid w:val="00DC3060"/>
    <w:rsid w:val="00DE0FB2"/>
    <w:rsid w:val="00DF093E"/>
    <w:rsid w:val="00E01F42"/>
    <w:rsid w:val="00E1104C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54718"/>
    <w:rsid w:val="00F66DCA"/>
    <w:rsid w:val="00F706EE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6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  <w:pPr>
      <w:numPr>
        <w:numId w:val="0"/>
      </w:numPr>
    </w:pPr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6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  <w:pPr>
      <w:numPr>
        <w:numId w:val="0"/>
      </w:numPr>
    </w:pPr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CoMother\City%20Executive%20Board\CEB%20General%20Admin\CEB%20report%20-%20blank%20template%20to%20be%20used%20from%20January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0C22-0F7B-4965-96A3-1EB6DB50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January 2016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cphythian</cp:lastModifiedBy>
  <cp:revision>3</cp:revision>
  <cp:lastPrinted>2015-07-03T13:50:00Z</cp:lastPrinted>
  <dcterms:created xsi:type="dcterms:W3CDTF">2017-12-12T15:49:00Z</dcterms:created>
  <dcterms:modified xsi:type="dcterms:W3CDTF">2017-12-13T13:06:00Z</dcterms:modified>
</cp:coreProperties>
</file>